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A4F" w:rsidRPr="00252454" w:rsidRDefault="00D06A4F" w:rsidP="00252454">
      <w:pPr>
        <w:spacing w:line="360" w:lineRule="auto"/>
        <w:jc w:val="both"/>
        <w:rPr>
          <w:rFonts w:ascii="Times New Roman" w:hAnsi="Times New Roman" w:cs="Times New Roman"/>
          <w:sz w:val="24"/>
          <w:szCs w:val="24"/>
        </w:rPr>
      </w:pPr>
      <w:r w:rsidRPr="00252454">
        <w:rPr>
          <w:rFonts w:ascii="Times New Roman" w:hAnsi="Times New Roman" w:cs="Times New Roman"/>
          <w:sz w:val="24"/>
          <w:szCs w:val="24"/>
        </w:rPr>
        <w:t>The supplementary file containing the additional analysis results for the dataset "</w:t>
      </w:r>
      <w:r w:rsidRPr="004B3B1D">
        <w:rPr>
          <w:rFonts w:ascii="Times New Roman" w:hAnsi="Times New Roman" w:cs="Times New Roman"/>
          <w:b/>
          <w:sz w:val="24"/>
          <w:szCs w:val="24"/>
        </w:rPr>
        <w:t>GSE55546</w:t>
      </w:r>
      <w:r w:rsidRPr="00252454">
        <w:rPr>
          <w:rFonts w:ascii="Times New Roman" w:hAnsi="Times New Roman" w:cs="Times New Roman"/>
          <w:sz w:val="24"/>
          <w:szCs w:val="24"/>
        </w:rPr>
        <w:t xml:space="preserve">". There are twelve samples in the dataset, 4 belongs to the </w:t>
      </w:r>
      <w:r w:rsidR="00E1637B" w:rsidRPr="00252454">
        <w:rPr>
          <w:rFonts w:ascii="Times New Roman" w:hAnsi="Times New Roman" w:cs="Times New Roman"/>
          <w:sz w:val="24"/>
          <w:szCs w:val="24"/>
        </w:rPr>
        <w:t xml:space="preserve">Uvula (control) and 12 HPV active OPSCC. This dataset is the only available match to compare the results with the proposed study. However, the sample size is very less to conduct machine </w:t>
      </w:r>
      <w:bookmarkStart w:id="0" w:name="_GoBack"/>
      <w:bookmarkEnd w:id="0"/>
      <w:r w:rsidR="00E1637B" w:rsidRPr="00252454">
        <w:rPr>
          <w:rFonts w:ascii="Times New Roman" w:hAnsi="Times New Roman" w:cs="Times New Roman"/>
          <w:sz w:val="24"/>
          <w:szCs w:val="24"/>
        </w:rPr>
        <w:t xml:space="preserve">learning interpretations. So, in order to understand the similarity and reproducibility between the datasets, this experiment is conducted. Figure 1 represents the volcano plot generated during the analysis between the Uvula control and HPV active OPSCC samples. </w:t>
      </w:r>
    </w:p>
    <w:p w:rsidR="00D06A4F" w:rsidRPr="00252454" w:rsidRDefault="00D06A4F" w:rsidP="00252454">
      <w:pPr>
        <w:spacing w:line="360" w:lineRule="auto"/>
        <w:jc w:val="center"/>
        <w:rPr>
          <w:rFonts w:ascii="Times New Roman" w:hAnsi="Times New Roman" w:cs="Times New Roman"/>
          <w:sz w:val="24"/>
          <w:szCs w:val="24"/>
        </w:rPr>
      </w:pPr>
      <w:r w:rsidRPr="00252454">
        <w:rPr>
          <w:rFonts w:ascii="Times New Roman" w:hAnsi="Times New Roman" w:cs="Times New Roman"/>
          <w:noProof/>
          <w:sz w:val="24"/>
          <w:szCs w:val="24"/>
        </w:rPr>
        <w:drawing>
          <wp:inline distT="0" distB="0" distL="0" distR="0" wp14:anchorId="6A7AC1F0" wp14:editId="4CB08434">
            <wp:extent cx="2990850" cy="237286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99583" cy="2379796"/>
                    </a:xfrm>
                    <a:prstGeom prst="rect">
                      <a:avLst/>
                    </a:prstGeom>
                  </pic:spPr>
                </pic:pic>
              </a:graphicData>
            </a:graphic>
          </wp:inline>
        </w:drawing>
      </w:r>
    </w:p>
    <w:p w:rsidR="00D06A4F" w:rsidRPr="00252454" w:rsidRDefault="00E1637B" w:rsidP="00252454">
      <w:pPr>
        <w:spacing w:line="360" w:lineRule="auto"/>
        <w:jc w:val="both"/>
        <w:rPr>
          <w:rFonts w:ascii="Times New Roman" w:hAnsi="Times New Roman" w:cs="Times New Roman"/>
          <w:sz w:val="24"/>
          <w:szCs w:val="24"/>
        </w:rPr>
      </w:pPr>
      <w:r w:rsidRPr="00252454">
        <w:rPr>
          <w:rFonts w:ascii="Times New Roman" w:hAnsi="Times New Roman" w:cs="Times New Roman"/>
          <w:sz w:val="24"/>
          <w:szCs w:val="24"/>
        </w:rPr>
        <w:t xml:space="preserve">Fig. 1 </w:t>
      </w:r>
      <w:r w:rsidR="00D06A4F" w:rsidRPr="00252454">
        <w:rPr>
          <w:rFonts w:ascii="Times New Roman" w:hAnsi="Times New Roman" w:cs="Times New Roman"/>
          <w:sz w:val="24"/>
          <w:szCs w:val="24"/>
        </w:rPr>
        <w:t xml:space="preserve">Volcano Plot representing the differentially expressed genes (Up and Down regulated) in Red and Blue color respectively. </w:t>
      </w:r>
    </w:p>
    <w:p w:rsidR="00E1637B" w:rsidRPr="00252454" w:rsidRDefault="00E1637B" w:rsidP="00252454">
      <w:pPr>
        <w:spacing w:line="360" w:lineRule="auto"/>
        <w:jc w:val="both"/>
        <w:rPr>
          <w:rFonts w:ascii="Times New Roman" w:hAnsi="Times New Roman" w:cs="Times New Roman"/>
          <w:sz w:val="24"/>
          <w:szCs w:val="24"/>
        </w:rPr>
      </w:pPr>
      <w:r w:rsidRPr="00252454">
        <w:rPr>
          <w:rFonts w:ascii="Times New Roman" w:hAnsi="Times New Roman" w:cs="Times New Roman"/>
          <w:sz w:val="24"/>
          <w:szCs w:val="24"/>
        </w:rPr>
        <w:t xml:space="preserve">Table 1: The genes </w:t>
      </w:r>
      <w:r w:rsidRPr="00252454">
        <w:rPr>
          <w:rFonts w:ascii="Times New Roman" w:hAnsi="Times New Roman" w:cs="Times New Roman"/>
          <w:i/>
          <w:sz w:val="24"/>
          <w:szCs w:val="24"/>
        </w:rPr>
        <w:t>LAMC2</w:t>
      </w:r>
      <w:r w:rsidRPr="00252454">
        <w:rPr>
          <w:rFonts w:ascii="Times New Roman" w:hAnsi="Times New Roman" w:cs="Times New Roman"/>
          <w:sz w:val="24"/>
          <w:szCs w:val="24"/>
        </w:rPr>
        <w:t xml:space="preserve">, </w:t>
      </w:r>
      <w:r w:rsidRPr="00252454">
        <w:rPr>
          <w:rFonts w:ascii="Times New Roman" w:hAnsi="Times New Roman" w:cs="Times New Roman"/>
          <w:i/>
          <w:sz w:val="24"/>
          <w:szCs w:val="24"/>
        </w:rPr>
        <w:t>ECT2</w:t>
      </w:r>
      <w:r w:rsidRPr="00252454">
        <w:rPr>
          <w:rFonts w:ascii="Times New Roman" w:hAnsi="Times New Roman" w:cs="Times New Roman"/>
          <w:sz w:val="24"/>
          <w:szCs w:val="24"/>
        </w:rPr>
        <w:t xml:space="preserve"> and </w:t>
      </w:r>
      <w:r w:rsidRPr="00252454">
        <w:rPr>
          <w:rFonts w:ascii="Times New Roman" w:hAnsi="Times New Roman" w:cs="Times New Roman"/>
          <w:i/>
          <w:sz w:val="24"/>
          <w:szCs w:val="24"/>
        </w:rPr>
        <w:t>DSG2</w:t>
      </w:r>
      <w:r w:rsidRPr="00252454">
        <w:rPr>
          <w:rFonts w:ascii="Times New Roman" w:hAnsi="Times New Roman" w:cs="Times New Roman"/>
          <w:sz w:val="24"/>
          <w:szCs w:val="24"/>
        </w:rPr>
        <w:t xml:space="preserve"> identified in the proposed system and its statistical significance on GSE55546 dataset.</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1114"/>
        <w:gridCol w:w="1114"/>
        <w:gridCol w:w="1058"/>
        <w:gridCol w:w="1137"/>
        <w:gridCol w:w="1617"/>
        <w:gridCol w:w="1694"/>
      </w:tblGrid>
      <w:tr w:rsidR="005251B1" w:rsidRPr="00252454" w:rsidTr="005251B1">
        <w:trPr>
          <w:trHeight w:val="244"/>
        </w:trPr>
        <w:tc>
          <w:tcPr>
            <w:tcW w:w="1676" w:type="dxa"/>
            <w:vAlign w:val="bottom"/>
          </w:tcPr>
          <w:p w:rsidR="005251B1" w:rsidRPr="00BE7E44" w:rsidRDefault="005251B1" w:rsidP="00BE7E44">
            <w:pPr>
              <w:spacing w:after="0" w:line="360" w:lineRule="auto"/>
              <w:jc w:val="both"/>
              <w:rPr>
                <w:rFonts w:ascii="Times New Roman" w:hAnsi="Times New Roman" w:cs="Times New Roman"/>
                <w:sz w:val="20"/>
                <w:szCs w:val="20"/>
              </w:rPr>
            </w:pP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b/>
                <w:sz w:val="20"/>
                <w:szCs w:val="20"/>
              </w:rPr>
            </w:pPr>
            <w:proofErr w:type="spellStart"/>
            <w:r w:rsidRPr="00BE7E44">
              <w:rPr>
                <w:rFonts w:ascii="Times New Roman" w:hAnsi="Times New Roman" w:cs="Times New Roman"/>
                <w:b/>
                <w:sz w:val="20"/>
                <w:szCs w:val="20"/>
              </w:rPr>
              <w:t>padj</w:t>
            </w:r>
            <w:proofErr w:type="spellEnd"/>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b/>
                <w:sz w:val="20"/>
                <w:szCs w:val="20"/>
              </w:rPr>
            </w:pPr>
            <w:proofErr w:type="spellStart"/>
            <w:r w:rsidRPr="00BE7E44">
              <w:rPr>
                <w:rFonts w:ascii="Times New Roman" w:hAnsi="Times New Roman" w:cs="Times New Roman"/>
                <w:b/>
                <w:sz w:val="20"/>
                <w:szCs w:val="20"/>
              </w:rPr>
              <w:t>pvalue</w:t>
            </w:r>
            <w:proofErr w:type="spellEnd"/>
          </w:p>
        </w:tc>
        <w:tc>
          <w:tcPr>
            <w:tcW w:w="105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b/>
                <w:sz w:val="20"/>
                <w:szCs w:val="20"/>
              </w:rPr>
            </w:pPr>
            <w:r w:rsidRPr="00BE7E44">
              <w:rPr>
                <w:rFonts w:ascii="Times New Roman" w:hAnsi="Times New Roman" w:cs="Times New Roman"/>
                <w:b/>
                <w:sz w:val="20"/>
                <w:szCs w:val="20"/>
              </w:rPr>
              <w:t>t</w:t>
            </w:r>
          </w:p>
        </w:tc>
        <w:tc>
          <w:tcPr>
            <w:tcW w:w="1137"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b/>
                <w:sz w:val="20"/>
                <w:szCs w:val="20"/>
              </w:rPr>
            </w:pPr>
            <w:r w:rsidRPr="00BE7E44">
              <w:rPr>
                <w:rFonts w:ascii="Times New Roman" w:hAnsi="Times New Roman" w:cs="Times New Roman"/>
                <w:b/>
                <w:sz w:val="20"/>
                <w:szCs w:val="20"/>
              </w:rPr>
              <w:t>B</w:t>
            </w:r>
          </w:p>
        </w:tc>
        <w:tc>
          <w:tcPr>
            <w:tcW w:w="1378" w:type="dxa"/>
            <w:shd w:val="clear" w:color="auto" w:fill="auto"/>
            <w:noWrap/>
            <w:vAlign w:val="bottom"/>
            <w:hideMark/>
          </w:tcPr>
          <w:p w:rsidR="005251B1" w:rsidRPr="00BE7E44" w:rsidRDefault="00851633" w:rsidP="00BE7E44">
            <w:pPr>
              <w:spacing w:after="0" w:line="360" w:lineRule="auto"/>
              <w:jc w:val="both"/>
              <w:rPr>
                <w:rFonts w:ascii="Times New Roman" w:hAnsi="Times New Roman" w:cs="Times New Roman"/>
                <w:b/>
                <w:sz w:val="20"/>
                <w:szCs w:val="20"/>
              </w:rPr>
            </w:pPr>
            <w:r w:rsidRPr="00BE7E44">
              <w:rPr>
                <w:rFonts w:ascii="Times New Roman" w:hAnsi="Times New Roman" w:cs="Times New Roman"/>
                <w:b/>
                <w:sz w:val="20"/>
                <w:szCs w:val="20"/>
              </w:rPr>
              <w:t>l</w:t>
            </w:r>
            <w:r w:rsidR="005251B1" w:rsidRPr="00BE7E44">
              <w:rPr>
                <w:rFonts w:ascii="Times New Roman" w:hAnsi="Times New Roman" w:cs="Times New Roman"/>
                <w:b/>
                <w:sz w:val="20"/>
                <w:szCs w:val="20"/>
              </w:rPr>
              <w:t>og2</w:t>
            </w:r>
            <w:r w:rsidRPr="00BE7E44">
              <w:rPr>
                <w:rFonts w:ascii="Times New Roman" w:hAnsi="Times New Roman" w:cs="Times New Roman"/>
                <w:b/>
                <w:sz w:val="20"/>
                <w:szCs w:val="20"/>
              </w:rPr>
              <w:t>FoldChange</w:t>
            </w:r>
          </w:p>
        </w:tc>
        <w:tc>
          <w:tcPr>
            <w:tcW w:w="169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b/>
                <w:sz w:val="20"/>
                <w:szCs w:val="20"/>
              </w:rPr>
            </w:pPr>
            <w:r w:rsidRPr="00BE7E44">
              <w:rPr>
                <w:rFonts w:ascii="Times New Roman" w:hAnsi="Times New Roman" w:cs="Times New Roman"/>
                <w:b/>
                <w:sz w:val="20"/>
                <w:szCs w:val="20"/>
              </w:rPr>
              <w:t>SPOT_ID</w:t>
            </w:r>
          </w:p>
        </w:tc>
      </w:tr>
      <w:tr w:rsidR="005251B1" w:rsidRPr="00252454" w:rsidTr="005251B1">
        <w:trPr>
          <w:trHeight w:val="244"/>
        </w:trPr>
        <w:tc>
          <w:tcPr>
            <w:tcW w:w="1676" w:type="dxa"/>
            <w:vAlign w:val="bottom"/>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LAMC2</w:t>
            </w: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4.67E-03</w:t>
            </w: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8.74E-06</w:t>
            </w:r>
          </w:p>
        </w:tc>
        <w:tc>
          <w:tcPr>
            <w:tcW w:w="105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-6.44281</w:t>
            </w:r>
          </w:p>
        </w:tc>
        <w:tc>
          <w:tcPr>
            <w:tcW w:w="1137"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3.815943</w:t>
            </w:r>
          </w:p>
        </w:tc>
        <w:tc>
          <w:tcPr>
            <w:tcW w:w="137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-3.35572083</w:t>
            </w:r>
          </w:p>
        </w:tc>
        <w:tc>
          <w:tcPr>
            <w:tcW w:w="169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A_23_P201636</w:t>
            </w:r>
          </w:p>
        </w:tc>
      </w:tr>
      <w:tr w:rsidR="005251B1" w:rsidRPr="00252454" w:rsidTr="005251B1">
        <w:trPr>
          <w:trHeight w:val="244"/>
        </w:trPr>
        <w:tc>
          <w:tcPr>
            <w:tcW w:w="1676" w:type="dxa"/>
            <w:vAlign w:val="bottom"/>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ECT2</w:t>
            </w: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1.06E-01</w:t>
            </w: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5.34E-03</w:t>
            </w:r>
          </w:p>
        </w:tc>
        <w:tc>
          <w:tcPr>
            <w:tcW w:w="105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-3.22799</w:t>
            </w:r>
          </w:p>
        </w:tc>
        <w:tc>
          <w:tcPr>
            <w:tcW w:w="1137"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-2.232359</w:t>
            </w:r>
          </w:p>
        </w:tc>
        <w:tc>
          <w:tcPr>
            <w:tcW w:w="137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-1.45006552</w:t>
            </w:r>
          </w:p>
        </w:tc>
        <w:tc>
          <w:tcPr>
            <w:tcW w:w="169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A_23_P44684</w:t>
            </w:r>
          </w:p>
        </w:tc>
      </w:tr>
      <w:tr w:rsidR="005251B1" w:rsidRPr="00252454" w:rsidTr="005251B1">
        <w:trPr>
          <w:trHeight w:val="244"/>
        </w:trPr>
        <w:tc>
          <w:tcPr>
            <w:tcW w:w="1676" w:type="dxa"/>
            <w:vAlign w:val="bottom"/>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DSG2</w:t>
            </w: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1.38E-01</w:t>
            </w:r>
          </w:p>
        </w:tc>
        <w:tc>
          <w:tcPr>
            <w:tcW w:w="111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9.70E-03</w:t>
            </w:r>
          </w:p>
        </w:tc>
        <w:tc>
          <w:tcPr>
            <w:tcW w:w="105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-2.94138</w:t>
            </w:r>
          </w:p>
        </w:tc>
        <w:tc>
          <w:tcPr>
            <w:tcW w:w="1137"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-2.788324</w:t>
            </w:r>
          </w:p>
        </w:tc>
        <w:tc>
          <w:tcPr>
            <w:tcW w:w="1378"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-1.92251001</w:t>
            </w:r>
          </w:p>
        </w:tc>
        <w:tc>
          <w:tcPr>
            <w:tcW w:w="1694" w:type="dxa"/>
            <w:shd w:val="clear" w:color="auto" w:fill="auto"/>
            <w:noWrap/>
            <w:vAlign w:val="bottom"/>
            <w:hideMark/>
          </w:tcPr>
          <w:p w:rsidR="005251B1" w:rsidRPr="00BE7E44" w:rsidRDefault="005251B1" w:rsidP="00BE7E44">
            <w:pPr>
              <w:spacing w:after="0" w:line="360" w:lineRule="auto"/>
              <w:jc w:val="both"/>
              <w:rPr>
                <w:rFonts w:ascii="Times New Roman" w:hAnsi="Times New Roman" w:cs="Times New Roman"/>
                <w:sz w:val="20"/>
                <w:szCs w:val="20"/>
              </w:rPr>
            </w:pPr>
            <w:r w:rsidRPr="00BE7E44">
              <w:rPr>
                <w:rFonts w:ascii="Times New Roman" w:hAnsi="Times New Roman" w:cs="Times New Roman"/>
                <w:sz w:val="20"/>
                <w:szCs w:val="20"/>
              </w:rPr>
              <w:t>A_23_P141730</w:t>
            </w:r>
          </w:p>
        </w:tc>
      </w:tr>
    </w:tbl>
    <w:p w:rsidR="00BE7E44" w:rsidRDefault="00BE7E44" w:rsidP="00252454">
      <w:pPr>
        <w:spacing w:line="360" w:lineRule="auto"/>
        <w:jc w:val="both"/>
        <w:rPr>
          <w:rFonts w:ascii="Times New Roman" w:hAnsi="Times New Roman" w:cs="Times New Roman"/>
          <w:sz w:val="24"/>
          <w:szCs w:val="24"/>
        </w:rPr>
      </w:pPr>
    </w:p>
    <w:p w:rsidR="00E1637B" w:rsidRDefault="00E1637B" w:rsidP="00252454">
      <w:pPr>
        <w:spacing w:line="360" w:lineRule="auto"/>
        <w:jc w:val="both"/>
        <w:rPr>
          <w:rFonts w:ascii="Times New Roman" w:hAnsi="Times New Roman" w:cs="Times New Roman"/>
          <w:sz w:val="24"/>
          <w:szCs w:val="24"/>
        </w:rPr>
      </w:pPr>
      <w:r w:rsidRPr="00252454">
        <w:rPr>
          <w:rFonts w:ascii="Times New Roman" w:hAnsi="Times New Roman" w:cs="Times New Roman"/>
          <w:sz w:val="24"/>
          <w:szCs w:val="24"/>
        </w:rPr>
        <w:t xml:space="preserve">Based on the results from the Table 1, it’s clear that the genes </w:t>
      </w:r>
      <w:r w:rsidRPr="00252454">
        <w:rPr>
          <w:rFonts w:ascii="Times New Roman" w:hAnsi="Times New Roman" w:cs="Times New Roman"/>
          <w:i/>
          <w:sz w:val="24"/>
          <w:szCs w:val="24"/>
        </w:rPr>
        <w:t>LAMC2</w:t>
      </w:r>
      <w:r w:rsidRPr="00252454">
        <w:rPr>
          <w:rFonts w:ascii="Times New Roman" w:hAnsi="Times New Roman" w:cs="Times New Roman"/>
          <w:sz w:val="24"/>
          <w:szCs w:val="24"/>
        </w:rPr>
        <w:t xml:space="preserve">, </w:t>
      </w:r>
      <w:r w:rsidRPr="00252454">
        <w:rPr>
          <w:rFonts w:ascii="Times New Roman" w:hAnsi="Times New Roman" w:cs="Times New Roman"/>
          <w:i/>
          <w:sz w:val="24"/>
          <w:szCs w:val="24"/>
        </w:rPr>
        <w:t>ECT2</w:t>
      </w:r>
      <w:r w:rsidRPr="00252454">
        <w:rPr>
          <w:rFonts w:ascii="Times New Roman" w:hAnsi="Times New Roman" w:cs="Times New Roman"/>
          <w:sz w:val="24"/>
          <w:szCs w:val="24"/>
        </w:rPr>
        <w:t xml:space="preserve"> and </w:t>
      </w:r>
      <w:r w:rsidRPr="00252454">
        <w:rPr>
          <w:rFonts w:ascii="Times New Roman" w:hAnsi="Times New Roman" w:cs="Times New Roman"/>
          <w:i/>
          <w:sz w:val="24"/>
          <w:szCs w:val="24"/>
        </w:rPr>
        <w:t xml:space="preserve">DSG2 </w:t>
      </w:r>
      <w:r w:rsidRPr="00252454">
        <w:rPr>
          <w:rFonts w:ascii="Times New Roman" w:hAnsi="Times New Roman" w:cs="Times New Roman"/>
          <w:sz w:val="24"/>
          <w:szCs w:val="24"/>
        </w:rPr>
        <w:t xml:space="preserve">are down-regulated, which thereby confirms the </w:t>
      </w:r>
      <w:r w:rsidR="0039464A" w:rsidRPr="00252454">
        <w:rPr>
          <w:rFonts w:ascii="Times New Roman" w:hAnsi="Times New Roman" w:cs="Times New Roman"/>
          <w:sz w:val="24"/>
          <w:szCs w:val="24"/>
        </w:rPr>
        <w:t xml:space="preserve">hypothesis deduced in the proposed system. The results </w:t>
      </w:r>
      <w:r w:rsidR="00252454">
        <w:rPr>
          <w:rFonts w:ascii="Times New Roman" w:hAnsi="Times New Roman" w:cs="Times New Roman"/>
          <w:sz w:val="24"/>
          <w:szCs w:val="24"/>
        </w:rPr>
        <w:t>evidently proves</w:t>
      </w:r>
      <w:r w:rsidR="0039464A" w:rsidRPr="00252454">
        <w:rPr>
          <w:rFonts w:ascii="Times New Roman" w:hAnsi="Times New Roman" w:cs="Times New Roman"/>
          <w:sz w:val="24"/>
          <w:szCs w:val="24"/>
        </w:rPr>
        <w:t xml:space="preserve"> that the down-regulation of the above genes causes significant impact on the </w:t>
      </w:r>
      <w:r w:rsidR="005955F8">
        <w:rPr>
          <w:rFonts w:ascii="Times New Roman" w:hAnsi="Times New Roman" w:cs="Times New Roman"/>
          <w:sz w:val="24"/>
          <w:szCs w:val="24"/>
        </w:rPr>
        <w:t xml:space="preserve">pathogenesis of OPSCC and the </w:t>
      </w:r>
      <w:r w:rsidR="0039464A" w:rsidRPr="00252454">
        <w:rPr>
          <w:rFonts w:ascii="Times New Roman" w:hAnsi="Times New Roman" w:cs="Times New Roman"/>
          <w:sz w:val="24"/>
          <w:szCs w:val="24"/>
        </w:rPr>
        <w:t>survival rate.</w:t>
      </w:r>
    </w:p>
    <w:p w:rsidR="005251B1" w:rsidRDefault="005251B1" w:rsidP="00252454">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Table 2. Comparison of </w:t>
      </w:r>
      <w:proofErr w:type="spellStart"/>
      <w:r>
        <w:rPr>
          <w:rFonts w:ascii="Times New Roman" w:hAnsi="Times New Roman" w:cs="Times New Roman"/>
          <w:sz w:val="24"/>
          <w:szCs w:val="24"/>
        </w:rPr>
        <w:t>logFC</w:t>
      </w:r>
      <w:proofErr w:type="spellEnd"/>
      <w:r>
        <w:rPr>
          <w:rFonts w:ascii="Times New Roman" w:hAnsi="Times New Roman" w:cs="Times New Roman"/>
          <w:sz w:val="24"/>
          <w:szCs w:val="24"/>
        </w:rPr>
        <w:t xml:space="preserve"> scores between GSE112026</w:t>
      </w:r>
      <w:r w:rsidR="00BE7E44">
        <w:rPr>
          <w:rFonts w:ascii="Times New Roman" w:hAnsi="Times New Roman" w:cs="Times New Roman"/>
          <w:sz w:val="24"/>
          <w:szCs w:val="24"/>
        </w:rPr>
        <w:t xml:space="preserve"> and GSE55546</w:t>
      </w:r>
    </w:p>
    <w:tbl>
      <w:tblPr>
        <w:tblW w:w="5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055"/>
        <w:gridCol w:w="1055"/>
        <w:gridCol w:w="1717"/>
      </w:tblGrid>
      <w:tr w:rsidR="000C0F63" w:rsidRPr="00E1637B" w:rsidTr="00BE7E44">
        <w:trPr>
          <w:trHeight w:val="244"/>
          <w:jc w:val="center"/>
        </w:trPr>
        <w:tc>
          <w:tcPr>
            <w:tcW w:w="1217" w:type="dxa"/>
            <w:vAlign w:val="bottom"/>
          </w:tcPr>
          <w:p w:rsidR="000C0F63" w:rsidRPr="00BE7E44" w:rsidRDefault="000C0F63" w:rsidP="00BE7E44">
            <w:pPr>
              <w:spacing w:after="0" w:line="360" w:lineRule="auto"/>
              <w:jc w:val="center"/>
              <w:rPr>
                <w:rFonts w:ascii="Times New Roman" w:hAnsi="Times New Roman" w:cs="Times New Roman"/>
                <w:b/>
                <w:sz w:val="20"/>
                <w:szCs w:val="20"/>
              </w:rPr>
            </w:pPr>
            <w:r w:rsidRPr="00BE7E44">
              <w:rPr>
                <w:rFonts w:ascii="Times New Roman" w:hAnsi="Times New Roman" w:cs="Times New Roman"/>
                <w:b/>
                <w:sz w:val="20"/>
                <w:szCs w:val="20"/>
              </w:rPr>
              <w:t>GSE55546</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b/>
                <w:sz w:val="20"/>
                <w:szCs w:val="20"/>
              </w:rPr>
            </w:pPr>
            <w:proofErr w:type="spellStart"/>
            <w:r w:rsidRPr="00BE7E44">
              <w:rPr>
                <w:rFonts w:ascii="Times New Roman" w:hAnsi="Times New Roman" w:cs="Times New Roman"/>
                <w:b/>
                <w:sz w:val="20"/>
                <w:szCs w:val="20"/>
              </w:rPr>
              <w:t>padj</w:t>
            </w:r>
            <w:proofErr w:type="spellEnd"/>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b/>
                <w:sz w:val="20"/>
                <w:szCs w:val="20"/>
              </w:rPr>
            </w:pPr>
            <w:proofErr w:type="spellStart"/>
            <w:r w:rsidRPr="00BE7E44">
              <w:rPr>
                <w:rFonts w:ascii="Times New Roman" w:hAnsi="Times New Roman" w:cs="Times New Roman"/>
                <w:b/>
                <w:sz w:val="20"/>
                <w:szCs w:val="20"/>
              </w:rPr>
              <w:t>pvalue</w:t>
            </w:r>
            <w:proofErr w:type="spellEnd"/>
          </w:p>
        </w:tc>
        <w:tc>
          <w:tcPr>
            <w:tcW w:w="1717"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b/>
                <w:sz w:val="20"/>
                <w:szCs w:val="20"/>
              </w:rPr>
            </w:pPr>
            <w:r w:rsidRPr="00BE7E44">
              <w:rPr>
                <w:rFonts w:ascii="Times New Roman" w:hAnsi="Times New Roman" w:cs="Times New Roman"/>
                <w:b/>
                <w:sz w:val="20"/>
                <w:szCs w:val="20"/>
              </w:rPr>
              <w:t>log2FoldChange</w:t>
            </w:r>
          </w:p>
        </w:tc>
      </w:tr>
      <w:tr w:rsidR="000C0F63" w:rsidRPr="00E1637B" w:rsidTr="00BE7E44">
        <w:trPr>
          <w:trHeight w:val="244"/>
          <w:jc w:val="center"/>
        </w:trPr>
        <w:tc>
          <w:tcPr>
            <w:tcW w:w="1217" w:type="dxa"/>
            <w:vAlign w:val="bottom"/>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LAMC2</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4.67E-03</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8.74E-06</w:t>
            </w:r>
          </w:p>
        </w:tc>
        <w:tc>
          <w:tcPr>
            <w:tcW w:w="1717"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-3.35572083</w:t>
            </w:r>
          </w:p>
        </w:tc>
      </w:tr>
      <w:tr w:rsidR="000C0F63" w:rsidRPr="00E1637B" w:rsidTr="00BE7E44">
        <w:trPr>
          <w:trHeight w:val="152"/>
          <w:jc w:val="center"/>
        </w:trPr>
        <w:tc>
          <w:tcPr>
            <w:tcW w:w="1217" w:type="dxa"/>
            <w:vAlign w:val="bottom"/>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ECT2</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1.06E-01</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5.34E-03</w:t>
            </w:r>
          </w:p>
        </w:tc>
        <w:tc>
          <w:tcPr>
            <w:tcW w:w="1717"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-1.45006552</w:t>
            </w:r>
          </w:p>
        </w:tc>
      </w:tr>
      <w:tr w:rsidR="000C0F63" w:rsidRPr="00E1637B" w:rsidTr="00BE7E44">
        <w:trPr>
          <w:trHeight w:val="244"/>
          <w:jc w:val="center"/>
        </w:trPr>
        <w:tc>
          <w:tcPr>
            <w:tcW w:w="1217" w:type="dxa"/>
            <w:vAlign w:val="bottom"/>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DSG2</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1.38E-01</w:t>
            </w:r>
          </w:p>
        </w:tc>
        <w:tc>
          <w:tcPr>
            <w:tcW w:w="1055"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9.70E-03</w:t>
            </w:r>
          </w:p>
        </w:tc>
        <w:tc>
          <w:tcPr>
            <w:tcW w:w="1717" w:type="dxa"/>
            <w:shd w:val="clear" w:color="auto" w:fill="auto"/>
            <w:noWrap/>
            <w:vAlign w:val="bottom"/>
            <w:hideMark/>
          </w:tcPr>
          <w:p w:rsidR="000C0F63" w:rsidRPr="00BE7E44" w:rsidRDefault="000C0F63" w:rsidP="00BE7E44">
            <w:pPr>
              <w:spacing w:after="0" w:line="360" w:lineRule="auto"/>
              <w:jc w:val="center"/>
              <w:rPr>
                <w:rFonts w:ascii="Times New Roman" w:hAnsi="Times New Roman" w:cs="Times New Roman"/>
                <w:sz w:val="20"/>
                <w:szCs w:val="20"/>
              </w:rPr>
            </w:pPr>
            <w:r w:rsidRPr="00BE7E44">
              <w:rPr>
                <w:rFonts w:ascii="Times New Roman" w:hAnsi="Times New Roman" w:cs="Times New Roman"/>
                <w:sz w:val="20"/>
                <w:szCs w:val="20"/>
              </w:rPr>
              <w:t>-1.92251001</w:t>
            </w:r>
          </w:p>
        </w:tc>
      </w:tr>
    </w:tbl>
    <w:p w:rsidR="000C0F63" w:rsidRDefault="000C0F63" w:rsidP="00BE7E44">
      <w:pPr>
        <w:spacing w:line="360" w:lineRule="auto"/>
        <w:jc w:val="center"/>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1317"/>
        <w:gridCol w:w="1055"/>
        <w:gridCol w:w="1055"/>
        <w:gridCol w:w="1617"/>
      </w:tblGrid>
      <w:tr w:rsidR="000C0F63" w:rsidRPr="000C0F63" w:rsidTr="00BE7E44">
        <w:trPr>
          <w:jc w:val="center"/>
        </w:trPr>
        <w:tc>
          <w:tcPr>
            <w:tcW w:w="1317" w:type="dxa"/>
            <w:vAlign w:val="bottom"/>
          </w:tcPr>
          <w:p w:rsidR="000C0F63" w:rsidRPr="00BE7E44" w:rsidRDefault="000C0F63" w:rsidP="00BE7E44">
            <w:pPr>
              <w:spacing w:line="360" w:lineRule="auto"/>
              <w:jc w:val="center"/>
              <w:rPr>
                <w:rFonts w:ascii="Times New Roman" w:hAnsi="Times New Roman" w:cs="Times New Roman"/>
                <w:b/>
                <w:sz w:val="20"/>
                <w:szCs w:val="20"/>
              </w:rPr>
            </w:pPr>
            <w:r w:rsidRPr="00BE7E44">
              <w:rPr>
                <w:rFonts w:ascii="Times New Roman" w:hAnsi="Times New Roman" w:cs="Times New Roman"/>
                <w:b/>
                <w:sz w:val="20"/>
                <w:szCs w:val="20"/>
              </w:rPr>
              <w:t>GSE112026</w:t>
            </w:r>
          </w:p>
        </w:tc>
        <w:tc>
          <w:tcPr>
            <w:tcW w:w="1055" w:type="dxa"/>
          </w:tcPr>
          <w:p w:rsidR="000C0F63" w:rsidRPr="00BE7E44" w:rsidRDefault="000C0F63" w:rsidP="00BE7E44">
            <w:pPr>
              <w:spacing w:line="360" w:lineRule="auto"/>
              <w:jc w:val="center"/>
              <w:rPr>
                <w:rFonts w:ascii="Times New Roman" w:hAnsi="Times New Roman" w:cs="Times New Roman"/>
                <w:b/>
                <w:sz w:val="20"/>
                <w:szCs w:val="20"/>
              </w:rPr>
            </w:pPr>
            <w:proofErr w:type="spellStart"/>
            <w:r w:rsidRPr="00BE7E44">
              <w:rPr>
                <w:rFonts w:ascii="Times New Roman" w:hAnsi="Times New Roman" w:cs="Times New Roman"/>
                <w:b/>
                <w:sz w:val="20"/>
                <w:szCs w:val="20"/>
              </w:rPr>
              <w:t>padj</w:t>
            </w:r>
            <w:proofErr w:type="spellEnd"/>
          </w:p>
        </w:tc>
        <w:tc>
          <w:tcPr>
            <w:tcW w:w="1055" w:type="dxa"/>
          </w:tcPr>
          <w:p w:rsidR="000C0F63" w:rsidRPr="00BE7E44" w:rsidRDefault="000C0F63" w:rsidP="00BE7E44">
            <w:pPr>
              <w:spacing w:line="360" w:lineRule="auto"/>
              <w:jc w:val="center"/>
              <w:rPr>
                <w:rFonts w:ascii="Times New Roman" w:hAnsi="Times New Roman" w:cs="Times New Roman"/>
                <w:b/>
                <w:sz w:val="20"/>
                <w:szCs w:val="20"/>
              </w:rPr>
            </w:pPr>
            <w:proofErr w:type="spellStart"/>
            <w:r w:rsidRPr="00BE7E44">
              <w:rPr>
                <w:rFonts w:ascii="Times New Roman" w:hAnsi="Times New Roman" w:cs="Times New Roman"/>
                <w:b/>
                <w:sz w:val="20"/>
                <w:szCs w:val="20"/>
              </w:rPr>
              <w:t>pvalue</w:t>
            </w:r>
            <w:proofErr w:type="spellEnd"/>
          </w:p>
        </w:tc>
        <w:tc>
          <w:tcPr>
            <w:tcW w:w="1055" w:type="dxa"/>
          </w:tcPr>
          <w:p w:rsidR="000C0F63" w:rsidRPr="00BE7E44" w:rsidRDefault="000C0F63" w:rsidP="00BE7E44">
            <w:pPr>
              <w:spacing w:line="360" w:lineRule="auto"/>
              <w:jc w:val="center"/>
              <w:rPr>
                <w:rFonts w:ascii="Times New Roman" w:hAnsi="Times New Roman" w:cs="Times New Roman"/>
                <w:b/>
                <w:sz w:val="20"/>
                <w:szCs w:val="20"/>
              </w:rPr>
            </w:pPr>
            <w:r w:rsidRPr="00BE7E44">
              <w:rPr>
                <w:rFonts w:ascii="Times New Roman" w:hAnsi="Times New Roman" w:cs="Times New Roman"/>
                <w:b/>
                <w:sz w:val="20"/>
                <w:szCs w:val="20"/>
              </w:rPr>
              <w:t>log2FoldChange</w:t>
            </w:r>
          </w:p>
        </w:tc>
      </w:tr>
      <w:tr w:rsidR="000C0F63" w:rsidRPr="000C0F63" w:rsidTr="00BE7E44">
        <w:trPr>
          <w:jc w:val="center"/>
        </w:trPr>
        <w:tc>
          <w:tcPr>
            <w:tcW w:w="1317"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LAMC2</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3.17E-34</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3.24E-37</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-3.27969357</w:t>
            </w:r>
          </w:p>
        </w:tc>
      </w:tr>
      <w:tr w:rsidR="000C0F63" w:rsidRPr="000C0F63" w:rsidTr="00BE7E44">
        <w:trPr>
          <w:jc w:val="center"/>
        </w:trPr>
        <w:tc>
          <w:tcPr>
            <w:tcW w:w="1317"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ECT2</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1.09E-31</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1.68E-34</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-2.200989687</w:t>
            </w:r>
          </w:p>
        </w:tc>
      </w:tr>
      <w:tr w:rsidR="000C0F63" w:rsidRPr="000C0F63" w:rsidTr="00BE7E44">
        <w:trPr>
          <w:jc w:val="center"/>
        </w:trPr>
        <w:tc>
          <w:tcPr>
            <w:tcW w:w="1317"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DSG2</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7.97E-64</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1.81E-67</w:t>
            </w:r>
          </w:p>
        </w:tc>
        <w:tc>
          <w:tcPr>
            <w:tcW w:w="1055" w:type="dxa"/>
          </w:tcPr>
          <w:p w:rsidR="000C0F63" w:rsidRPr="000C0F63" w:rsidRDefault="000C0F63" w:rsidP="00BE7E44">
            <w:pPr>
              <w:spacing w:line="360" w:lineRule="auto"/>
              <w:jc w:val="center"/>
              <w:rPr>
                <w:rFonts w:ascii="Times New Roman" w:hAnsi="Times New Roman" w:cs="Times New Roman"/>
                <w:sz w:val="20"/>
                <w:szCs w:val="20"/>
              </w:rPr>
            </w:pPr>
            <w:r w:rsidRPr="000C0F63">
              <w:rPr>
                <w:rFonts w:ascii="Times New Roman" w:hAnsi="Times New Roman" w:cs="Times New Roman"/>
                <w:sz w:val="20"/>
                <w:szCs w:val="20"/>
              </w:rPr>
              <w:t>-3.049925518</w:t>
            </w:r>
          </w:p>
        </w:tc>
      </w:tr>
    </w:tbl>
    <w:p w:rsidR="000C0F63" w:rsidRPr="00252454" w:rsidRDefault="000C0F63" w:rsidP="000C0F63">
      <w:pPr>
        <w:spacing w:line="360" w:lineRule="auto"/>
        <w:jc w:val="both"/>
        <w:rPr>
          <w:rFonts w:ascii="Times New Roman" w:hAnsi="Times New Roman" w:cs="Times New Roman"/>
          <w:sz w:val="24"/>
          <w:szCs w:val="24"/>
        </w:rPr>
      </w:pPr>
    </w:p>
    <w:sectPr w:rsidR="000C0F63" w:rsidRPr="002524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A4F"/>
    <w:rsid w:val="000C0F63"/>
    <w:rsid w:val="00252454"/>
    <w:rsid w:val="0039464A"/>
    <w:rsid w:val="004B3B1D"/>
    <w:rsid w:val="005251B1"/>
    <w:rsid w:val="005955F8"/>
    <w:rsid w:val="005C058B"/>
    <w:rsid w:val="007216D1"/>
    <w:rsid w:val="00851633"/>
    <w:rsid w:val="00883357"/>
    <w:rsid w:val="009B683E"/>
    <w:rsid w:val="00BE7E44"/>
    <w:rsid w:val="00D06A4F"/>
    <w:rsid w:val="00E16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68404-A62E-4C15-A827-CC0062F07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764142">
      <w:bodyDiv w:val="1"/>
      <w:marLeft w:val="0"/>
      <w:marRight w:val="0"/>
      <w:marTop w:val="0"/>
      <w:marBottom w:val="0"/>
      <w:divBdr>
        <w:top w:val="none" w:sz="0" w:space="0" w:color="auto"/>
        <w:left w:val="none" w:sz="0" w:space="0" w:color="auto"/>
        <w:bottom w:val="none" w:sz="0" w:space="0" w:color="auto"/>
        <w:right w:val="none" w:sz="0" w:space="0" w:color="auto"/>
      </w:divBdr>
    </w:div>
    <w:div w:id="212233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Mediomix</dc:creator>
  <cp:keywords/>
  <dc:description/>
  <cp:lastModifiedBy>Mediomix</cp:lastModifiedBy>
  <cp:revision>10</cp:revision>
  <dcterms:created xsi:type="dcterms:W3CDTF">2024-03-04T11:24:00Z</dcterms:created>
  <dcterms:modified xsi:type="dcterms:W3CDTF">2024-03-04T12:12:00Z</dcterms:modified>
</cp:coreProperties>
</file>